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359" w:type="dxa"/>
        <w:tblLook w:val="04A0" w:firstRow="1" w:lastRow="0" w:firstColumn="1" w:lastColumn="0" w:noHBand="0" w:noVBand="1"/>
      </w:tblPr>
      <w:tblGrid>
        <w:gridCol w:w="5526"/>
        <w:gridCol w:w="2833"/>
      </w:tblGrid>
      <w:tr w:rsidR="00B000EF">
        <w:trPr>
          <w:trHeight w:val="572"/>
        </w:trPr>
        <w:tc>
          <w:tcPr>
            <w:tcW w:w="5526" w:type="dxa"/>
          </w:tcPr>
          <w:p w:rsidR="00B000EF" w:rsidRDefault="00366784">
            <w:pPr>
              <w:spacing w:after="280"/>
              <w:ind w:left="720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Checkliste einzureichende Unterlagen bei Antragstellung (</w:t>
            </w:r>
            <w:r>
              <w:rPr>
                <w:b/>
              </w:rPr>
              <w:t>Anlagen):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  <w:rPr>
                <w:b/>
              </w:rPr>
            </w:pPr>
            <w:r>
              <w:rPr>
                <w:b/>
              </w:rPr>
              <w:t>Einzureichen von:</w:t>
            </w:r>
          </w:p>
        </w:tc>
      </w:tr>
      <w:tr w:rsidR="00B000EF">
        <w:tc>
          <w:tcPr>
            <w:tcW w:w="5526" w:type="dxa"/>
          </w:tcPr>
          <w:p w:rsidR="00B000EF" w:rsidRDefault="00366784">
            <w:proofErr w:type="spellStart"/>
            <w:r>
              <w:rPr>
                <w:b/>
              </w:rPr>
              <w:t>Kofinanzierungserklärungen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3" w:type="dxa"/>
          </w:tcPr>
          <w:p w:rsidR="00B000EF" w:rsidRDefault="00B000EF"/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  <w:rPr>
                <w:b/>
              </w:rPr>
            </w:pPr>
            <w:proofErr w:type="spellStart"/>
            <w:r>
              <w:t>Kofinanzierungserklärung</w:t>
            </w:r>
            <w:proofErr w:type="spellEnd"/>
            <w:r>
              <w:t xml:space="preserve"> Eigenmittel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VT</w:t>
            </w:r>
            <w:sdt>
              <w:sdtPr>
                <w:id w:val="11793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  <w:rPr>
                <w:b/>
              </w:rPr>
            </w:pPr>
            <w:proofErr w:type="spellStart"/>
            <w:r>
              <w:t>Kofinanzierungserklärung</w:t>
            </w:r>
            <w:proofErr w:type="spellEnd"/>
            <w:r>
              <w:t xml:space="preserve"> </w:t>
            </w:r>
            <w:r>
              <w:t>Drittmittel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TVP</w:t>
            </w:r>
            <w:sdt>
              <w:sdtPr>
                <w:id w:val="11255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  <w:rPr>
                <w:b/>
              </w:rPr>
            </w:pPr>
            <w:r>
              <w:rPr>
                <w:b/>
              </w:rPr>
              <w:t>Änderungsdokument zum Vorhabenkonzept aus der Interessenbekundung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  <w:rPr>
                <w:rFonts w:ascii="Arial" w:hAnsi="Arial" w:cs="Arial"/>
              </w:rPr>
            </w:pPr>
            <w:r>
              <w:t>VT</w:t>
            </w:r>
            <w:sdt>
              <w:sdtPr>
                <w:id w:val="13573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  <w:rPr>
                <w:b/>
              </w:rPr>
            </w:pPr>
            <w:r>
              <w:rPr>
                <w:b/>
              </w:rPr>
              <w:t>Erklärung zur Kenntnisnahme des Merkblattes zur Achtung der Charta der Grundrechte der Europäischen Union (GRC) im Zusammenhang mit der Umsetzung des beantragten V</w:t>
            </w:r>
            <w:r>
              <w:rPr>
                <w:b/>
              </w:rPr>
              <w:t xml:space="preserve">orhabens sowie Erklärung zur Weitergabe der Informationen an Teilnehmende des Vorhabens </w:t>
            </w:r>
            <w:r>
              <w:rPr>
                <w:b/>
                <w:sz w:val="18"/>
                <w:szCs w:val="18"/>
              </w:rPr>
              <w:t>(Hinweis: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Die einzelnen Erklärungen der TVP sind als Anlage zum Weiterleitungsvertrag vorzuhalten und auf Anforderung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vorzulegen).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  <w:rPr>
                <w:rFonts w:ascii="Arial" w:hAnsi="Arial" w:cs="Arial"/>
              </w:rPr>
            </w:pPr>
            <w:r>
              <w:t>VT</w:t>
            </w:r>
            <w:sdt>
              <w:sdtPr>
                <w:id w:val="20804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pStyle w:val="BAFzAFlies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Subventionserhebliche Erklärun</w:t>
            </w:r>
            <w:r>
              <w:rPr>
                <w:b/>
                <w:color w:val="auto"/>
              </w:rPr>
              <w:t>g zum Ausschluss einer Doppelförderung</w:t>
            </w:r>
          </w:p>
        </w:tc>
        <w:tc>
          <w:tcPr>
            <w:tcW w:w="2833" w:type="dxa"/>
          </w:tcPr>
          <w:p w:rsidR="00B000EF" w:rsidRDefault="00366784">
            <w:pPr>
              <w:pStyle w:val="BAFzAFliess"/>
              <w:rPr>
                <w:color w:val="auto"/>
              </w:rPr>
            </w:pPr>
            <w:r>
              <w:rPr>
                <w:color w:val="auto"/>
              </w:rPr>
              <w:t>VT</w:t>
            </w:r>
            <w:sdt>
              <w:sdtPr>
                <w:rPr>
                  <w:color w:val="auto"/>
                </w:rPr>
                <w:id w:val="-2508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/ TVP</w:t>
            </w:r>
            <w:sdt>
              <w:sdtPr>
                <w:rPr>
                  <w:color w:val="auto"/>
                </w:rPr>
                <w:id w:val="6457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pStyle w:val="BAFzAFliess"/>
              <w:rPr>
                <w:b/>
                <w:color w:val="auto"/>
              </w:rPr>
            </w:pPr>
            <w:r>
              <w:rPr>
                <w:b/>
                <w:color w:val="auto"/>
              </w:rPr>
              <w:t>Bonitätserklärung inklusive sämtlicher Anlagen</w:t>
            </w:r>
          </w:p>
        </w:tc>
        <w:tc>
          <w:tcPr>
            <w:tcW w:w="2833" w:type="dxa"/>
          </w:tcPr>
          <w:p w:rsidR="00B000EF" w:rsidRDefault="00366784">
            <w:pPr>
              <w:pStyle w:val="BAFzAFliess"/>
              <w:rPr>
                <w:color w:val="auto"/>
              </w:rPr>
            </w:pPr>
            <w:r>
              <w:rPr>
                <w:color w:val="auto"/>
              </w:rPr>
              <w:t>TVP</w:t>
            </w:r>
            <w:sdt>
              <w:sdtPr>
                <w:rPr>
                  <w:color w:val="auto"/>
                </w:rPr>
                <w:id w:val="167137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  <w:shd w:val="clear" w:color="auto" w:fill="FFFFFF" w:themeFill="background1"/>
          </w:tcPr>
          <w:p w:rsidR="00B000EF" w:rsidRDefault="00366784">
            <w:pPr>
              <w:spacing w:after="280"/>
              <w:rPr>
                <w:b/>
              </w:rPr>
            </w:pPr>
            <w:r>
              <w:rPr>
                <w:b/>
              </w:rPr>
              <w:t>Anwendung des Besserstellungsverbots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TVP</w:t>
            </w:r>
            <w:sdt>
              <w:sdtPr>
                <w:id w:val="14185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  <w:rPr>
                <w:b/>
              </w:rPr>
            </w:pPr>
            <w:r>
              <w:rPr>
                <w:b/>
              </w:rPr>
              <w:t xml:space="preserve">Nachweise Koordinierungsstelle und Projekt Personal </w:t>
            </w:r>
          </w:p>
        </w:tc>
        <w:tc>
          <w:tcPr>
            <w:tcW w:w="2833" w:type="dxa"/>
          </w:tcPr>
          <w:p w:rsidR="00B000EF" w:rsidRDefault="00B000EF">
            <w:pPr>
              <w:spacing w:after="280"/>
              <w:rPr>
                <w:rFonts w:ascii="Arial" w:hAnsi="Arial" w:cs="Arial"/>
              </w:rPr>
            </w:pPr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</w:pPr>
            <w:r>
              <w:t xml:space="preserve">Formular „Arbeitsplatzbeschreibung/Personalbogen“      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VT</w:t>
            </w:r>
            <w:sdt>
              <w:sdtPr>
                <w:id w:val="-162745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TVP</w:t>
            </w:r>
            <w:sdt>
              <w:sdtPr>
                <w:id w:val="-1281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</w:pPr>
            <w:r>
              <w:t>Berechnungsformular „Kosten je Einheit Personal“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VT</w:t>
            </w:r>
            <w:sdt>
              <w:sdtPr>
                <w:id w:val="16696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TVP</w:t>
            </w:r>
            <w:sdt>
              <w:sdtPr>
                <w:id w:val="7204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</w:pPr>
            <w:r>
              <w:t xml:space="preserve">Arbeitsverträge 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  <w:rPr>
                <w:rFonts w:ascii="Arial" w:hAnsi="Arial" w:cs="Arial"/>
              </w:rPr>
            </w:pPr>
            <w:r>
              <w:t>VT</w:t>
            </w:r>
            <w:sdt>
              <w:sdtPr>
                <w:id w:val="-13699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TVP</w:t>
            </w:r>
            <w:sdt>
              <w:sdtPr>
                <w:id w:val="1914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  <w:shd w:val="clear" w:color="auto" w:fill="auto"/>
          </w:tcPr>
          <w:p w:rsidR="00B000EF" w:rsidRDefault="00366784">
            <w:pPr>
              <w:spacing w:after="280"/>
              <w:rPr>
                <w:highlight w:val="yellow"/>
              </w:rPr>
            </w:pPr>
            <w:r>
              <w:t>Abordnungsverfügung (Beamte), Anlage zum Arbeitsvertrag (Angestellte) bzw. Formular „B</w:t>
            </w:r>
            <w:r>
              <w:t>estätigung zum Personaleinsatz“</w:t>
            </w:r>
            <w:r>
              <w:rPr>
                <w:highlight w:val="yellow"/>
              </w:rPr>
              <w:t xml:space="preserve">   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VT</w:t>
            </w:r>
            <w:sdt>
              <w:sdtPr>
                <w:id w:val="-4217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TVP</w:t>
            </w:r>
            <w:sdt>
              <w:sdtPr>
                <w:id w:val="-188278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</w:pPr>
            <w:r>
              <w:t>Gehaltsnachweise (Lohnkonto, Gehaltsabrechnung)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  <w:rPr>
                <w:rFonts w:ascii="Arial" w:hAnsi="Arial" w:cs="Arial"/>
              </w:rPr>
            </w:pPr>
            <w:r>
              <w:t>VT</w:t>
            </w:r>
            <w:sdt>
              <w:sdtPr>
                <w:id w:val="-13033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TVP</w:t>
            </w:r>
            <w:sdt>
              <w:sdtPr>
                <w:id w:val="60462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000EF">
        <w:tc>
          <w:tcPr>
            <w:tcW w:w="5526" w:type="dxa"/>
          </w:tcPr>
          <w:p w:rsidR="00B000EF" w:rsidRDefault="00366784">
            <w:pPr>
              <w:spacing w:after="280"/>
            </w:pPr>
            <w:r>
              <w:t>Zahlungsfluss (s. dazu Punkt A.1. der programmspezifischen Fördergrundsätze)</w:t>
            </w:r>
          </w:p>
        </w:tc>
        <w:tc>
          <w:tcPr>
            <w:tcW w:w="2833" w:type="dxa"/>
          </w:tcPr>
          <w:p w:rsidR="00B000EF" w:rsidRDefault="00366784">
            <w:pPr>
              <w:spacing w:after="280"/>
            </w:pPr>
            <w:r>
              <w:t>TVP</w:t>
            </w:r>
            <w:sdt>
              <w:sdtPr>
                <w:id w:val="-1828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B000EF" w:rsidRDefault="00B000EF">
      <w:pPr>
        <w:pStyle w:val="BAFzAFliess"/>
      </w:pPr>
    </w:p>
    <w:sectPr w:rsidR="00B000EF">
      <w:headerReference w:type="default" r:id="rId8"/>
      <w:pgSz w:w="11906" w:h="16838" w:code="9"/>
      <w:pgMar w:top="1560" w:right="1416" w:bottom="1560" w:left="1418" w:header="709" w:footer="8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84" w:rsidRDefault="00366784">
      <w:pPr>
        <w:spacing w:line="240" w:lineRule="auto"/>
      </w:pPr>
      <w:r>
        <w:separator/>
      </w:r>
    </w:p>
    <w:p w:rsidR="00366784" w:rsidRDefault="00366784"/>
  </w:endnote>
  <w:endnote w:type="continuationSeparator" w:id="0">
    <w:p w:rsidR="00366784" w:rsidRDefault="00366784">
      <w:pPr>
        <w:spacing w:line="240" w:lineRule="auto"/>
      </w:pPr>
      <w:r>
        <w:continuationSeparator/>
      </w:r>
    </w:p>
    <w:p w:rsidR="00366784" w:rsidRDefault="00366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Cond Office"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84" w:rsidRDefault="00366784">
      <w:pPr>
        <w:spacing w:line="240" w:lineRule="auto"/>
      </w:pPr>
      <w:r>
        <w:separator/>
      </w:r>
    </w:p>
    <w:p w:rsidR="00366784" w:rsidRDefault="00366784"/>
  </w:footnote>
  <w:footnote w:type="continuationSeparator" w:id="0">
    <w:p w:rsidR="00366784" w:rsidRDefault="00366784">
      <w:pPr>
        <w:spacing w:line="240" w:lineRule="auto"/>
      </w:pPr>
      <w:r>
        <w:continuationSeparator/>
      </w:r>
    </w:p>
    <w:p w:rsidR="00366784" w:rsidRDefault="00366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F" w:rsidRDefault="00366784"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08F"/>
    <w:multiLevelType w:val="multilevel"/>
    <w:tmpl w:val="2F80C7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79773F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124324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E5A68"/>
    <w:multiLevelType w:val="multilevel"/>
    <w:tmpl w:val="3888165E"/>
    <w:styleLink w:val="Formatvorlag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739BD"/>
    <w:multiLevelType w:val="multilevel"/>
    <w:tmpl w:val="C12C580C"/>
    <w:styleLink w:val="ListeEben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244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A02482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9C4024"/>
    <w:multiLevelType w:val="multilevel"/>
    <w:tmpl w:val="50425C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74063D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417F49"/>
    <w:multiLevelType w:val="multilevel"/>
    <w:tmpl w:val="A4722BAC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2.%1"/>
      <w:lvlJc w:val="left"/>
      <w:pPr>
        <w:ind w:left="794" w:hanging="74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CC617EB"/>
    <w:multiLevelType w:val="multilevel"/>
    <w:tmpl w:val="57D03CAA"/>
    <w:styleLink w:val="Formatvorlag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C4D4E"/>
    <w:multiLevelType w:val="multilevel"/>
    <w:tmpl w:val="5E6A930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EA79FC"/>
    <w:multiLevelType w:val="multilevel"/>
    <w:tmpl w:val="1AAC7E02"/>
    <w:styleLink w:val="Formatvorlage5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04" w:hanging="850"/>
      </w:pPr>
      <w:rPr>
        <w:rFonts w:ascii="BundesSans Office" w:hAnsi="BundesSans Office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undesSans Office" w:hAnsi="BundesSans Office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DD0E8D"/>
    <w:multiLevelType w:val="multilevel"/>
    <w:tmpl w:val="410240BA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A918E2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343103"/>
    <w:multiLevelType w:val="hybridMultilevel"/>
    <w:tmpl w:val="E362A380"/>
    <w:lvl w:ilvl="0" w:tplc="E0D04B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291E"/>
    <w:multiLevelType w:val="hybridMultilevel"/>
    <w:tmpl w:val="9A320C88"/>
    <w:lvl w:ilvl="0" w:tplc="0AC4645C">
      <w:start w:val="6"/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343E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A1F40DC"/>
    <w:multiLevelType w:val="multilevel"/>
    <w:tmpl w:val="890276F4"/>
    <w:styleLink w:val="Formatvorlag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977E4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9027A9"/>
    <w:multiLevelType w:val="multilevel"/>
    <w:tmpl w:val="13B6B5A2"/>
    <w:lvl w:ilvl="0">
      <w:start w:val="1"/>
      <w:numFmt w:val="decimal"/>
      <w:isLgl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40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9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1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7"/>
  </w:num>
  <w:num w:numId="23">
    <w:abstractNumId w:val="13"/>
  </w:num>
  <w:num w:numId="24">
    <w:abstractNumId w:val="14"/>
  </w:num>
  <w:num w:numId="25">
    <w:abstractNumId w:val="16"/>
  </w:num>
  <w:num w:numId="26">
    <w:abstractNumId w:val="1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EF"/>
    <w:rsid w:val="00366784"/>
    <w:rsid w:val="00B000EF"/>
    <w:rsid w:val="00B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6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30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BAFzAFliess"/>
    <w:qFormat/>
    <w:pPr>
      <w:spacing w:after="0" w:line="280" w:lineRule="atLeast"/>
    </w:pPr>
    <w:rPr>
      <w:rFonts w:ascii="BundesSans Office" w:hAnsi="BundesSans Office"/>
    </w:rPr>
  </w:style>
  <w:style w:type="paragraph" w:styleId="berschrift1">
    <w:name w:val="heading 1"/>
    <w:basedOn w:val="Standard"/>
    <w:next w:val="BAFzAFliess"/>
    <w:link w:val="berschrift1Zchn"/>
    <w:uiPriority w:val="4"/>
    <w:qFormat/>
    <w:pPr>
      <w:keepNext/>
      <w:keepLines/>
      <w:spacing w:before="560" w:after="2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AFzAFliess"/>
    <w:link w:val="berschrift3Zchn"/>
    <w:uiPriority w:val="6"/>
    <w:qFormat/>
    <w:pPr>
      <w:keepNext/>
      <w:keepLines/>
      <w:spacing w:after="28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BAFzAFliess"/>
    <w:link w:val="berschrift4Zchn"/>
    <w:uiPriority w:val="7"/>
    <w:unhideWhenUsed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left" w:pos="340"/>
      </w:tabs>
      <w:spacing w:line="220" w:lineRule="atLeast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BundesSans Office" w:hAnsi="BundesSans Office"/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"/>
    <w:pPr>
      <w:keepLines/>
      <w:tabs>
        <w:tab w:val="left" w:pos="3402"/>
        <w:tab w:val="left" w:pos="5670"/>
      </w:tabs>
      <w:spacing w:line="180" w:lineRule="atLeast"/>
    </w:pPr>
    <w:rPr>
      <w:rFonts w:ascii="BundesSans Cond Office" w:hAnsi="BundesSans Cond Office"/>
      <w:color w:val="000000" w:themeColor="text1"/>
      <w:sz w:val="15"/>
      <w:szCs w:val="14"/>
    </w:rPr>
  </w:style>
  <w:style w:type="character" w:customStyle="1" w:styleId="FuzeileZchn">
    <w:name w:val="Fußzeile Zchn"/>
    <w:basedOn w:val="Absatz-Standardschriftart"/>
    <w:link w:val="Fuzeile"/>
    <w:uiPriority w:val="9"/>
    <w:rPr>
      <w:rFonts w:ascii="BundesSans Cond Office" w:hAnsi="BundesSans Cond Office"/>
      <w:color w:val="000000" w:themeColor="text1"/>
      <w:sz w:val="15"/>
      <w:szCs w:val="14"/>
    </w:rPr>
  </w:style>
  <w:style w:type="table" w:styleId="Tabellenraster">
    <w:name w:val="Table Grid"/>
    <w:basedOn w:val="NormaleTabelle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BAFzAFliess"/>
    <w:link w:val="TitelZchn"/>
    <w:uiPriority w:val="2"/>
    <w:qFormat/>
    <w:pPr>
      <w:spacing w:after="560"/>
      <w:jc w:val="center"/>
      <w:outlineLvl w:val="0"/>
    </w:pPr>
    <w:rPr>
      <w:b/>
      <w:color w:val="000000" w:themeColor="text1"/>
      <w:sz w:val="40"/>
    </w:rPr>
  </w:style>
  <w:style w:type="character" w:customStyle="1" w:styleId="TitelZchn">
    <w:name w:val="Titel Zchn"/>
    <w:basedOn w:val="Absatz-Standardschriftart"/>
    <w:link w:val="Titel"/>
    <w:uiPriority w:val="2"/>
    <w:rPr>
      <w:rFonts w:ascii="BundesSans Office" w:hAnsi="BundesSans Office"/>
      <w:b/>
      <w:color w:val="000000" w:themeColor="text1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rFonts w:ascii="BundesSans Office" w:hAnsi="BundesSans Office"/>
      <w:color w:val="0000CC"/>
      <w:u w:val="single"/>
    </w:rPr>
  </w:style>
  <w:style w:type="paragraph" w:customStyle="1" w:styleId="BAFzAKontaktdaten">
    <w:name w:val="BAFzA_Kontaktdaten"/>
    <w:basedOn w:val="Standard"/>
    <w:link w:val="BAFzAKontaktdatenZchn"/>
    <w:uiPriority w:val="11"/>
    <w:unhideWhenUsed/>
    <w:pPr>
      <w:framePr w:hSpace="142" w:wrap="around" w:vAnchor="page" w:hAnchor="page" w:x="8364" w:y="2672"/>
      <w:tabs>
        <w:tab w:val="left" w:pos="340"/>
      </w:tabs>
      <w:spacing w:line="240" w:lineRule="atLeast"/>
      <w:suppressOverlap/>
    </w:pPr>
    <w:rPr>
      <w:color w:val="000000" w:themeColor="text1"/>
      <w:sz w:val="19"/>
    </w:rPr>
  </w:style>
  <w:style w:type="character" w:customStyle="1" w:styleId="BAFzAKontaktdatenZchn">
    <w:name w:val="BAFzA_Kontaktdaten Zchn"/>
    <w:basedOn w:val="Absatz-Standardschriftart"/>
    <w:link w:val="BAFzAKontaktdaten"/>
    <w:uiPriority w:val="11"/>
    <w:rPr>
      <w:rFonts w:ascii="BundesSans Office" w:hAnsi="BundesSans Office"/>
      <w:color w:val="000000" w:themeColor="text1"/>
      <w:sz w:val="19"/>
    </w:rPr>
  </w:style>
  <w:style w:type="paragraph" w:customStyle="1" w:styleId="BAFzAFliess">
    <w:name w:val="BAFzA_Fliess"/>
    <w:basedOn w:val="Standard"/>
    <w:link w:val="BAFzAFliessZchn"/>
    <w:uiPriority w:val="1"/>
    <w:qFormat/>
    <w:pPr>
      <w:spacing w:after="280"/>
    </w:pPr>
    <w:rPr>
      <w:color w:val="000000" w:themeColor="text1"/>
    </w:rPr>
  </w:style>
  <w:style w:type="character" w:customStyle="1" w:styleId="BAFzAFliessZchn">
    <w:name w:val="BAFzA_Fliess Zchn"/>
    <w:basedOn w:val="Absatz-Standardschriftart"/>
    <w:link w:val="BAFzAFliess"/>
    <w:uiPriority w:val="1"/>
    <w:rPr>
      <w:rFonts w:ascii="BundesSans Office" w:hAnsi="BundesSans Office"/>
      <w:color w:val="000000" w:themeColor="text1"/>
    </w:rPr>
  </w:style>
  <w:style w:type="paragraph" w:customStyle="1" w:styleId="BAFzAimAuftrag">
    <w:name w:val="BAFzA_im_Auftrag"/>
    <w:basedOn w:val="Standard"/>
    <w:next w:val="BAFzAFliess"/>
    <w:link w:val="BAFzAimAuftragZchn"/>
    <w:uiPriority w:val="12"/>
    <w:unhideWhenUsed/>
    <w:pPr>
      <w:spacing w:after="840"/>
    </w:pPr>
    <w:rPr>
      <w:color w:val="000000" w:themeColor="text1"/>
    </w:rPr>
  </w:style>
  <w:style w:type="character" w:customStyle="1" w:styleId="BAFzAimAuftragZchn">
    <w:name w:val="BAFzA_im_Auftrag Zchn"/>
    <w:basedOn w:val="Absatz-Standardschriftart"/>
    <w:link w:val="BAFzAimAuftrag"/>
    <w:uiPriority w:val="12"/>
    <w:rPr>
      <w:rFonts w:ascii="BundesSans Office" w:hAnsi="BundesSans Office"/>
      <w:color w:val="000000" w:themeColor="text1"/>
    </w:rPr>
  </w:style>
  <w:style w:type="numbering" w:customStyle="1" w:styleId="Formatvorlage1">
    <w:name w:val="Formatvorlage1"/>
    <w:uiPriority w:val="99"/>
    <w:pPr>
      <w:numPr>
        <w:numId w:val="1"/>
      </w:numPr>
    </w:pPr>
  </w:style>
  <w:style w:type="numbering" w:customStyle="1" w:styleId="Formatvorlage2">
    <w:name w:val="Formatvorlage2"/>
    <w:uiPriority w:val="99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5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Pr>
      <w:rFonts w:ascii="BundesSans Office" w:eastAsiaTheme="majorEastAsia" w:hAnsi="BundesSans Office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notentext">
    <w:name w:val="footnote text"/>
    <w:basedOn w:val="Standard"/>
    <w:link w:val="FunotentextZchn"/>
    <w:semiHidden/>
    <w:pPr>
      <w:overflowPunct w:val="0"/>
      <w:autoSpaceDE w:val="0"/>
      <w:autoSpaceDN w:val="0"/>
      <w:adjustRightInd w:val="0"/>
      <w:spacing w:line="240" w:lineRule="auto"/>
      <w:ind w:left="113" w:hanging="113"/>
      <w:textAlignment w:val="baseline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BundesSans Office" w:eastAsia="Times New Roman" w:hAnsi="BundesSans Office" w:cs="Times New Roman"/>
      <w:sz w:val="18"/>
      <w:szCs w:val="2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numbering" w:customStyle="1" w:styleId="Formatvorlage3">
    <w:name w:val="Formatvorlage3"/>
    <w:basedOn w:val="KeineListe"/>
    <w:uiPriority w:val="99"/>
    <w:pPr>
      <w:numPr>
        <w:numId w:val="4"/>
      </w:numPr>
    </w:pPr>
  </w:style>
  <w:style w:type="numbering" w:customStyle="1" w:styleId="Formatvorlage4">
    <w:name w:val="Formatvorlage4"/>
    <w:basedOn w:val="KeineListe"/>
    <w:uiPriority w:val="99"/>
    <w:pPr>
      <w:numPr>
        <w:numId w:val="5"/>
      </w:numPr>
    </w:pPr>
  </w:style>
  <w:style w:type="numbering" w:customStyle="1" w:styleId="ListeEbene2">
    <w:name w:val="Liste Ebene2"/>
    <w:basedOn w:val="Formatvorlage4"/>
    <w:uiPriority w:val="99"/>
    <w:pPr>
      <w:numPr>
        <w:numId w:val="6"/>
      </w:numPr>
    </w:pPr>
  </w:style>
  <w:style w:type="paragraph" w:styleId="Untertitel">
    <w:name w:val="Subtitle"/>
    <w:basedOn w:val="Standard"/>
    <w:next w:val="BAFzAFliess"/>
    <w:link w:val="UntertitelZchn"/>
    <w:uiPriority w:val="3"/>
    <w:qFormat/>
    <w:pPr>
      <w:numPr>
        <w:ilvl w:val="1"/>
      </w:numPr>
      <w:spacing w:after="560"/>
      <w:jc w:val="center"/>
      <w:outlineLvl w:val="1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Pr>
      <w:rFonts w:ascii="BundesSans Office" w:eastAsiaTheme="majorEastAsia" w:hAnsi="BundesSans Office" w:cstheme="majorBidi"/>
      <w:b/>
      <w:iCs/>
      <w:color w:val="000000" w:themeColor="text1"/>
      <w:szCs w:val="24"/>
    </w:rPr>
  </w:style>
  <w:style w:type="numbering" w:customStyle="1" w:styleId="Formatvorlage5">
    <w:name w:val="Formatvorlage5"/>
    <w:basedOn w:val="KeineListe"/>
    <w:uiPriority w:val="99"/>
    <w:pPr>
      <w:numPr>
        <w:numId w:val="7"/>
      </w:numPr>
    </w:pPr>
  </w:style>
  <w:style w:type="character" w:styleId="SchwacheHervorhebung">
    <w:name w:val="Subtle Emphasis"/>
    <w:uiPriority w:val="19"/>
    <w:semiHidden/>
    <w:unhideWhenUsed/>
    <w:rPr>
      <w:lang w:val="de-DE"/>
    </w:rPr>
  </w:style>
  <w:style w:type="paragraph" w:customStyle="1" w:styleId="BAFzAKontaktdatenAbstandnach6pt">
    <w:name w:val="BAFzA_Kontaktdaten_Abstand_nach_6pt"/>
    <w:basedOn w:val="BAFzAKontaktdaten"/>
    <w:next w:val="BAFzAKontaktdaten"/>
    <w:link w:val="BAFzAKontaktdatenAbstandnach6ptZchn"/>
    <w:uiPriority w:val="10"/>
    <w:pPr>
      <w:framePr w:wrap="around"/>
      <w:spacing w:after="120"/>
    </w:pPr>
  </w:style>
  <w:style w:type="character" w:customStyle="1" w:styleId="BAFzAKontaktdatenAbstandnach6ptZchn">
    <w:name w:val="BAFzA_Kontaktdaten_Abstand_nach_6pt Zchn"/>
    <w:basedOn w:val="BAFzAKontaktdatenZchn"/>
    <w:link w:val="BAFzAKontaktdatenAbstandnach6pt"/>
    <w:uiPriority w:val="10"/>
    <w:rPr>
      <w:rFonts w:ascii="BundesSans Office" w:hAnsi="BundesSans Office"/>
      <w:color w:val="000000" w:themeColor="text1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1361"/>
        <w:tab w:val="right" w:leader="dot" w:pos="8959"/>
      </w:tabs>
      <w:spacing w:before="280"/>
      <w:ind w:left="1361" w:hanging="510"/>
    </w:pPr>
    <w:rPr>
      <w:b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8959"/>
      </w:tabs>
      <w:ind w:left="1871" w:hanging="510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pPr>
      <w:tabs>
        <w:tab w:val="right" w:leader="dot" w:pos="8959"/>
      </w:tabs>
      <w:ind w:left="2495" w:hanging="624"/>
    </w:pPr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276" w:lineRule="auto"/>
      <w:outlineLvl w:val="9"/>
    </w:pPr>
    <w:rPr>
      <w:color w:val="365F91" w:themeColor="accent1" w:themeShade="BF"/>
      <w:sz w:val="28"/>
      <w:lang w:eastAsia="de-DE"/>
    </w:rPr>
  </w:style>
  <w:style w:type="paragraph" w:styleId="KeinLeerraum">
    <w:name w:val="No Spacing"/>
    <w:uiPriority w:val="8"/>
    <w:qFormat/>
    <w:pPr>
      <w:spacing w:after="0" w:line="240" w:lineRule="auto"/>
    </w:pPr>
    <w:rPr>
      <w:rFonts w:ascii="BundesSans Office" w:hAnsi="BundesSans Office"/>
      <w:color w:val="000000" w:themeColor="text1"/>
    </w:rPr>
  </w:style>
  <w:style w:type="character" w:styleId="Fett">
    <w:name w:val="Strong"/>
    <w:basedOn w:val="Absatz-Standardschriftart"/>
    <w:uiPriority w:val="16"/>
    <w:rPr>
      <w:b/>
      <w:bCs/>
    </w:rPr>
  </w:style>
  <w:style w:type="paragraph" w:styleId="Listenabsatz">
    <w:name w:val="List Paragraph"/>
    <w:basedOn w:val="Standard"/>
    <w:uiPriority w:val="34"/>
    <w:qFormat/>
    <w:pPr>
      <w:numPr>
        <w:numId w:val="24"/>
      </w:numPr>
      <w:ind w:left="340" w:hanging="34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">
      <a:majorFont>
        <a:latin typeface="BundesSans Office"/>
        <a:ea typeface=""/>
        <a:cs typeface=""/>
      </a:majorFont>
      <a:minorFont>
        <a:latin typeface="Bundes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679D-55E2-4262-BA82-CDDA1E1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2023-08-11T11:24:00Z</dcterms:created>
  <dcterms:modified xsi:type="dcterms:W3CDTF">2023-08-11T11:24:00Z</dcterms:modified>
</cp:coreProperties>
</file>